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AA" w:rsidRPr="005837AA" w:rsidRDefault="005837AA" w:rsidP="005837A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 xml:space="preserve">5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nguyên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tắc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khiến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Đan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Mạch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hạnh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phúc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nhất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thế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giới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 xml:space="preserve"> </w:t>
      </w:r>
    </w:p>
    <w:p w:rsidR="005837AA" w:rsidRPr="005837AA" w:rsidRDefault="005837AA" w:rsidP="005837AA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Không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quan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trọng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hóa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kết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quả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tập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,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khuyến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khích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tự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là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chính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mình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,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đặt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niềm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vui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của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lên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hàng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đầu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hay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tạo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cơ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hội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bình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đẳng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là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những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nguyên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tắc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vàng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khiến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Đan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Mạch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hạnh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phúc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nhất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thế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giới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.</w:t>
      </w:r>
    </w:p>
    <w:p w:rsidR="005837AA" w:rsidRPr="005837AA" w:rsidRDefault="005837AA" w:rsidP="005837AA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5" w:history="1">
        <w:proofErr w:type="spellStart"/>
        <w:r w:rsidRPr="0058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Bài</w:t>
        </w:r>
        <w:proofErr w:type="spellEnd"/>
        <w:r w:rsidRPr="0058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 </w:t>
        </w:r>
        <w:proofErr w:type="spellStart"/>
        <w:r w:rsidRPr="0058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học</w:t>
        </w:r>
        <w:proofErr w:type="spellEnd"/>
        <w:r w:rsidRPr="0058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 </w:t>
        </w:r>
        <w:proofErr w:type="spellStart"/>
        <w:r w:rsidRPr="0058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từ</w:t>
        </w:r>
        <w:proofErr w:type="spellEnd"/>
        <w:r w:rsidRPr="0058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 </w:t>
        </w:r>
        <w:proofErr w:type="spellStart"/>
        <w:r w:rsidRPr="0058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bữa</w:t>
        </w:r>
        <w:proofErr w:type="spellEnd"/>
        <w:r w:rsidRPr="0058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 </w:t>
        </w:r>
        <w:proofErr w:type="spellStart"/>
        <w:r w:rsidRPr="0058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trưa</w:t>
        </w:r>
        <w:proofErr w:type="spellEnd"/>
        <w:r w:rsidRPr="0058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 ở </w:t>
        </w:r>
        <w:proofErr w:type="spellStart"/>
        <w:r w:rsidRPr="0058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trường</w:t>
        </w:r>
        <w:proofErr w:type="spellEnd"/>
        <w:r w:rsidRPr="0058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 </w:t>
        </w:r>
        <w:proofErr w:type="spellStart"/>
        <w:r w:rsidRPr="0058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học</w:t>
        </w:r>
        <w:proofErr w:type="spellEnd"/>
        <w:r w:rsidRPr="0058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 </w:t>
        </w:r>
        <w:proofErr w:type="spellStart"/>
        <w:r w:rsidRPr="0058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Phần</w:t>
        </w:r>
        <w:proofErr w:type="spellEnd"/>
        <w:r w:rsidRPr="0058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 Lan</w:t>
        </w:r>
      </w:hyperlink>
    </w:p>
    <w:p w:rsidR="005837AA" w:rsidRPr="005837AA" w:rsidRDefault="005837AA" w:rsidP="005837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5837AA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Bright</w:t>
      </w:r>
      <w:proofErr w:type="spellEnd"/>
      <w:r w:rsidRPr="005837AA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Side 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ngày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11/11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đã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chỉ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ra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5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nguyên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tắc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trong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hệ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thống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giáo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dục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Đan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Mạch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giúp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cảm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thấy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vui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vẻ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không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áp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lực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đến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trường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5837AA" w:rsidRPr="005837AA" w:rsidRDefault="005837AA" w:rsidP="005837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Làm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người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giỏi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nhất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không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phải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là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điều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cốt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lõi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trong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cuộc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sống</w:t>
      </w:r>
      <w:proofErr w:type="spellEnd"/>
    </w:p>
    <w:p w:rsidR="005837AA" w:rsidRPr="005837AA" w:rsidRDefault="005837AA" w:rsidP="005837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Hệ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thống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giáo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dục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của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Đan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Mạch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không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dồn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công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sức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đào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tạo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để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vượt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qua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các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bài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kiểm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chú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trọng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phát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triển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tính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tò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mò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để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năng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khiếu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của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trẻ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được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phát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triển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tự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nhiên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5837AA" w:rsidRPr="005837AA" w:rsidRDefault="005837AA" w:rsidP="005837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Các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trường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luôn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cố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gắng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để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hiểu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rằng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mỗi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em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có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những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phẩm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chất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năng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khiếu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riêng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Điều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này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có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nghĩa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bất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kể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điểm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số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như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thế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nào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các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em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đều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có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thể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tìm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kiếm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vị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trí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công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việc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phù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hợp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trở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thành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người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có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ích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trong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xã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hội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5837AA" w:rsidRPr="005837AA" w:rsidRDefault="005837AA" w:rsidP="005837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Chương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trình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được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xây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dựng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với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mục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tiêu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để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phần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lớn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tự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hiểu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bài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Thực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tế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không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một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trẻ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em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Đan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Mạch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nào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bị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hệ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thống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giáo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dục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bỏ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rơi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Giáo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dục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được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định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hướng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không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chỉ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dành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có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thành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tích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cao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để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giúp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đỡ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tất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cả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62"/>
      </w:tblGrid>
      <w:tr w:rsidR="005837AA" w:rsidRPr="005837AA" w:rsidTr="005837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37AA" w:rsidRPr="005837AA" w:rsidRDefault="005837AA" w:rsidP="005837AA">
            <w:pPr>
              <w:spacing w:before="0" w:beforeAutospacing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4762500" cy="3160395"/>
                  <wp:effectExtent l="19050" t="0" r="0" b="0"/>
                  <wp:docPr id="1" name="Billede 1" descr="5-nguyen-tac-khien-hoc-sinh-dan-mach-hanh-phuc-nhat-the-gi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-nguyen-tac-khien-hoc-sinh-dan-mach-hanh-phuc-nhat-the-gi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6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7AA" w:rsidRPr="005837AA" w:rsidTr="005837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37AA" w:rsidRPr="005837AA" w:rsidRDefault="005837AA" w:rsidP="005837AA">
            <w:pPr>
              <w:spacing w:before="0" w:beforeAutospacing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37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:rsidR="005837AA" w:rsidRPr="005837AA" w:rsidRDefault="005837AA" w:rsidP="005837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Biết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làm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thế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nào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để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là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chính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mình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quan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trọng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như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việc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có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thể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đọc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và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viết</w:t>
      </w:r>
      <w:proofErr w:type="spellEnd"/>
    </w:p>
    <w:p w:rsidR="005837AA" w:rsidRPr="005837AA" w:rsidRDefault="005837AA" w:rsidP="005837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Chương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trình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ở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Đan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Mạch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khuyến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khích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phát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triển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nhân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cách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mỗi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cá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nhân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Đây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không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phải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những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từ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sáo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rỗng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chỉ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nói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có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được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đưa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vào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luật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giáo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dục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Đan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Mạch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Theo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đó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hệ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thống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giáo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dục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tiểu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không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nên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chỉ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cung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cấp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trẻ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kiến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thức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kỹ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năng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cơ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bản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còn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phải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giúp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cá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tính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của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trẻ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được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phát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triển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tự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nhiên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Ngay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cả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trước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mầm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non,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trẻ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em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cũng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có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những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nhiệm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vụ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nhất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định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như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mở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rộng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vốn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từ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làm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quen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với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nội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quy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trường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hỏi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để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được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khoan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dung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chuẩn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bị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đầy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đủ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để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chính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mình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trước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bước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ra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xã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hội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5837AA" w:rsidRPr="005837AA" w:rsidRDefault="005837AA" w:rsidP="005837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Không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khuyến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khích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vẹt</w:t>
      </w:r>
      <w:proofErr w:type="spellEnd"/>
    </w:p>
    <w:p w:rsidR="005837AA" w:rsidRPr="005837AA" w:rsidRDefault="005837AA" w:rsidP="005837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Trong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trường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ở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Đan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Mạch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được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khuyến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khích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tự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tìm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kiếm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thông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tin,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tự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tiến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hành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các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thí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nghiệm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phân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tích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một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cách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độc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lập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rằng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phải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tham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gia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vào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quá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trình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tập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một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cách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chủ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động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chứ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không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chỉ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nghe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làm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theo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giáo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viên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như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một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con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vẹt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5837AA" w:rsidRPr="005837AA" w:rsidRDefault="005837AA" w:rsidP="005837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được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dạy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để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hoài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nghi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về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những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ý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kiến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của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người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khác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cách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xây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dựng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ý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kiến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của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riêng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mình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rằng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như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vậy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sẽ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hiểu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hơn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về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lòng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tự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trọng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có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kiến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thức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sâu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hơn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. </w:t>
      </w:r>
    </w:p>
    <w:p w:rsidR="005837AA" w:rsidRPr="005837AA" w:rsidRDefault="005837AA" w:rsidP="005837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Sáng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tạo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tư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duy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phê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phán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khả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năng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chủ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động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những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phẩm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chất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hữu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ích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để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tham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gia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vào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xã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hội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Khả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năng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ghi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nhớ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một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đoạn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văn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từ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sách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giáo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khoa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được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coi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ít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quan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trọng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. </w:t>
      </w:r>
    </w:p>
    <w:p w:rsidR="005837AA" w:rsidRPr="005837AA" w:rsidRDefault="005837AA" w:rsidP="005837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Kết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quả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tập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không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quá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quan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trọng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,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chủ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yếu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để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cảm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thấy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vui</w:t>
      </w:r>
      <w:proofErr w:type="spellEnd"/>
    </w:p>
    <w:p w:rsidR="005837AA" w:rsidRPr="005837AA" w:rsidRDefault="005837AA" w:rsidP="005837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Nếu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so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sánh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hệ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thống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giáo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dục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các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quốc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gia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dựa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trên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kết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quả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của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bài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kiểm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Đan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Mạch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khó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nằm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trong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top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đầu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Tuy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nhiên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Đan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Mạch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được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xếp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thứ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3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thế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giới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về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chất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lượng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hệ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thống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giáo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dục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5837AA" w:rsidRPr="005837AA" w:rsidRDefault="005837AA" w:rsidP="005837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Ở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Đan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Mạch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việc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tập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của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trung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viên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đại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như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một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sự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thưởng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thức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không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cảm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thấy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tập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quá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trình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khổ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cực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vô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tận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vì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luôn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luôn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được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nghỉ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ngơi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thực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sự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vào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cuối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tuần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5837AA" w:rsidRPr="005837AA" w:rsidRDefault="005837AA" w:rsidP="005837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Với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công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dân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trẻ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tuổi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những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người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gặp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khó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khăn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hoặc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không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biết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chắc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muốn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làm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gì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trong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cuộc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sống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hệ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thống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giáo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dục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sẽ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cung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cấp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một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chương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trình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đặc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biệt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Thanh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thiếu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niên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trong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độ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tuổi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từ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14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đến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18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có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thể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dành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một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năm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để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những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chương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trình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này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trước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quyết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định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muốn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làm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gì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tiếp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theo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được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dạy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kiến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thức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kỹ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năng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không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nằm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trong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chương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trình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ở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trường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nên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có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nhiều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cơ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hội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hơn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để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khám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phá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phát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triển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tài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năng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sự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sáng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tạo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của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bản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thân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được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khuyến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khích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giúp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đỡ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nhau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thích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nghi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với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cuộc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sống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62"/>
      </w:tblGrid>
      <w:tr w:rsidR="005837AA" w:rsidRPr="005837AA" w:rsidTr="005837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37AA" w:rsidRPr="005837AA" w:rsidRDefault="005837AA" w:rsidP="005837AA">
            <w:pPr>
              <w:spacing w:before="0" w:beforeAutospacing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4762500" cy="3167380"/>
                  <wp:effectExtent l="19050" t="0" r="0" b="0"/>
                  <wp:docPr id="2" name="Billede 2" descr="5-nguyen-tac-khien-hoc-sinh-dan-mach-hanh-phuc-nhat-the-gioi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-nguyen-tac-khien-hoc-sinh-dan-mach-hanh-phuc-nhat-the-gioi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6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7AA" w:rsidRPr="005837AA" w:rsidTr="005837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37AA" w:rsidRPr="005837AA" w:rsidRDefault="005837AA" w:rsidP="005837AA">
            <w:pPr>
              <w:spacing w:before="0" w:beforeAutospacing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37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:rsidR="005837AA" w:rsidRPr="005837AA" w:rsidRDefault="005837AA" w:rsidP="005837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Mọi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người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đều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có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cơ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hội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bình</w:t>
      </w:r>
      <w:proofErr w:type="spellEnd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đẳng</w:t>
      </w:r>
      <w:proofErr w:type="spellEnd"/>
    </w:p>
    <w:p w:rsidR="005837AA" w:rsidRPr="005837AA" w:rsidRDefault="005837AA" w:rsidP="005837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Chỉ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gram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11%</w:t>
      </w:r>
      <w:proofErr w:type="gram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người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Đan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Mạch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thấy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mức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lương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cao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yếu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tố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quyết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định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nghề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nghiệp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muốn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theo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đuổi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Điều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này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kết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quả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của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sự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định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hướng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hệ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thống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giáo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dục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Đan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Mạch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mang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lại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. </w:t>
      </w:r>
    </w:p>
    <w:p w:rsidR="005837AA" w:rsidRPr="005837AA" w:rsidRDefault="005837AA" w:rsidP="005837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Lựa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chọn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nghề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làm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mỗi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cá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nhân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được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hạnh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phúc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định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hướng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nghề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nghiệp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Đan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Mạch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đưa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đến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tất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cả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trường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Một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dịch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vụ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xã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hội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được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cung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cấp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ngay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trong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trường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giúp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trung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lựa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chọn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lên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cấp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cao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hơn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hay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chỉ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ở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mức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độ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trung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bình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phù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hợp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với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tham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vọng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nghề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nghiệp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mong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muốn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của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trong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tương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lai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Các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buổi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nói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chuyện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thường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xuyên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diễn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ra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để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có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thể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thảo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luận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về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kế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hoạch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với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giáo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viên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Qua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đó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tất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cả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học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sinh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có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thể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nhận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thấy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cơ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hội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nghề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nghiệp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bình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đẳng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như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nhau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trong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xã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hội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5837AA" w:rsidRPr="005837AA" w:rsidRDefault="005837AA" w:rsidP="005837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Theo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khảo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sát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gram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50%</w:t>
      </w:r>
      <w:proofErr w:type="gram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công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dân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trẻ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của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Đan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Mạch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xác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nhận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hoàn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toàn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tự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do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lựa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chọn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tương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lai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và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quan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trọng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hơn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có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thể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kiểm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soát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tương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lai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của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chính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mình</w:t>
      </w:r>
      <w:proofErr w:type="spellEnd"/>
      <w:r w:rsidRPr="005837AA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186E1C" w:rsidRDefault="00186E1C"/>
    <w:sectPr w:rsidR="00186E1C" w:rsidSect="0018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E0628"/>
    <w:multiLevelType w:val="multilevel"/>
    <w:tmpl w:val="AEB4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savePreviewPicture/>
  <w:compat/>
  <w:rsids>
    <w:rsidRoot w:val="005837AA"/>
    <w:rsid w:val="00186E1C"/>
    <w:rsid w:val="003A0D01"/>
    <w:rsid w:val="00540CEB"/>
    <w:rsid w:val="005837AA"/>
    <w:rsid w:val="00954543"/>
    <w:rsid w:val="0099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da-DK" w:eastAsia="en-US" w:bidi="ar-SA"/>
      </w:rPr>
    </w:rPrDefault>
    <w:pPrDefault>
      <w:pPr>
        <w:spacing w:before="100" w:beforeAutospacing="1" w:after="360"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1C"/>
  </w:style>
  <w:style w:type="paragraph" w:styleId="Overskrift1">
    <w:name w:val="heading 1"/>
    <w:basedOn w:val="Normal"/>
    <w:link w:val="Overskrift1Tegn"/>
    <w:uiPriority w:val="9"/>
    <w:qFormat/>
    <w:rsid w:val="005837AA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5837AA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837A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837A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837AA"/>
    <w:rPr>
      <w:color w:val="0000FF"/>
      <w:u w:val="single"/>
    </w:rPr>
  </w:style>
  <w:style w:type="paragraph" w:customStyle="1" w:styleId="normal0">
    <w:name w:val="normal"/>
    <w:basedOn w:val="Normal"/>
    <w:rsid w:val="005837A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5837AA"/>
    <w:rPr>
      <w:i/>
      <w:iCs/>
    </w:rPr>
  </w:style>
  <w:style w:type="character" w:styleId="Strk">
    <w:name w:val="Strong"/>
    <w:basedOn w:val="Standardskrifttypeiafsnit"/>
    <w:uiPriority w:val="22"/>
    <w:qFormat/>
    <w:rsid w:val="005837AA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37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3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nexpress.net/tin-tuc/giao-duc/bai-hoc-tu-bua-trua-o-truong-hoc-phan-lan-3493554.html?utm_source=detail&amp;utm_medium=box_relatedtop&amp;utm_campaign=boxtrack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3904</Characters>
  <Application>Microsoft Office Word</Application>
  <DocSecurity>0</DocSecurity>
  <Lines>32</Lines>
  <Paragraphs>9</Paragraphs>
  <ScaleCrop>false</ScaleCrop>
  <Company>Hewlett-Packard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Tam Huynh</dc:creator>
  <cp:lastModifiedBy>Thanh Tam Huynh</cp:lastModifiedBy>
  <cp:revision>1</cp:revision>
  <dcterms:created xsi:type="dcterms:W3CDTF">2016-11-12T06:55:00Z</dcterms:created>
  <dcterms:modified xsi:type="dcterms:W3CDTF">2016-11-12T06:57:00Z</dcterms:modified>
</cp:coreProperties>
</file>